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49" w:rsidRDefault="00306049" w:rsidP="00306049">
      <w:pPr>
        <w:shd w:val="clear" w:color="auto" w:fill="FFFFFF"/>
        <w:spacing w:after="0" w:line="234" w:lineRule="atLeast"/>
        <w:jc w:val="center"/>
        <w:rPr>
          <w:rFonts w:eastAsia="Times New Roman" w:cs="Times New Roman"/>
          <w:b/>
          <w:sz w:val="28"/>
          <w:szCs w:val="28"/>
        </w:rPr>
      </w:pPr>
      <w:bookmarkStart w:id="0" w:name="loai_1"/>
      <w:r w:rsidRPr="00306049">
        <w:rPr>
          <w:rFonts w:eastAsia="Times New Roman" w:cs="Times New Roman"/>
          <w:b/>
          <w:bCs/>
          <w:sz w:val="28"/>
          <w:szCs w:val="28"/>
          <w:lang w:val="vi-VN"/>
        </w:rPr>
        <w:t>LUẬT</w:t>
      </w:r>
      <w:bookmarkStart w:id="1" w:name="loai_1_name"/>
      <w:bookmarkEnd w:id="0"/>
      <w:r w:rsidRPr="00306049">
        <w:rPr>
          <w:rFonts w:eastAsia="Times New Roman" w:cs="Times New Roman"/>
          <w:b/>
          <w:bCs/>
          <w:sz w:val="28"/>
          <w:szCs w:val="28"/>
        </w:rPr>
        <w:t xml:space="preserve"> </w:t>
      </w:r>
      <w:r w:rsidRPr="00306049">
        <w:rPr>
          <w:rFonts w:eastAsia="Times New Roman" w:cs="Times New Roman"/>
          <w:b/>
          <w:sz w:val="28"/>
          <w:szCs w:val="28"/>
          <w:lang w:val="vi-VN"/>
        </w:rPr>
        <w:t>PHÒNG, CHỐNG TÁC HẠI CỦA RƯỢU, BIA</w:t>
      </w:r>
      <w:bookmarkEnd w:id="1"/>
    </w:p>
    <w:p w:rsidR="00306049" w:rsidRDefault="00306049" w:rsidP="00306049">
      <w:pPr>
        <w:shd w:val="clear" w:color="auto" w:fill="FFFFFF"/>
        <w:spacing w:after="0" w:line="234" w:lineRule="atLeast"/>
        <w:jc w:val="center"/>
        <w:rPr>
          <w:rFonts w:eastAsia="Times New Roman" w:cs="Times New Roman"/>
          <w:b/>
          <w:sz w:val="28"/>
          <w:szCs w:val="28"/>
        </w:rPr>
      </w:pPr>
      <w:r w:rsidRPr="00306049">
        <w:rPr>
          <w:rFonts w:eastAsia="Times New Roman" w:cs="Times New Roman"/>
          <w:b/>
          <w:sz w:val="28"/>
          <w:szCs w:val="28"/>
        </w:rPr>
        <w:t xml:space="preserve"> (Luật s</w:t>
      </w:r>
      <w:r w:rsidRPr="00306049">
        <w:rPr>
          <w:rFonts w:eastAsia="Times New Roman" w:cs="Times New Roman"/>
          <w:b/>
          <w:sz w:val="28"/>
          <w:szCs w:val="28"/>
        </w:rPr>
        <w:t>ố: 44/2019/QH14</w:t>
      </w:r>
      <w:r w:rsidRPr="00306049">
        <w:rPr>
          <w:rFonts w:eastAsia="Times New Roman" w:cs="Times New Roman"/>
          <w:b/>
          <w:sz w:val="28"/>
          <w:szCs w:val="28"/>
        </w:rPr>
        <w:t>)</w:t>
      </w:r>
    </w:p>
    <w:p w:rsidR="00306049" w:rsidRPr="00306049" w:rsidRDefault="00306049" w:rsidP="00306049">
      <w:pPr>
        <w:shd w:val="clear" w:color="auto" w:fill="FFFFFF"/>
        <w:spacing w:after="0" w:line="234" w:lineRule="atLeast"/>
        <w:jc w:val="center"/>
        <w:rPr>
          <w:rFonts w:eastAsia="Times New Roman" w:cs="Times New Roman"/>
          <w:b/>
          <w:sz w:val="28"/>
          <w:szCs w:val="28"/>
        </w:rPr>
      </w:pPr>
      <w:r>
        <w:rPr>
          <w:rFonts w:eastAsia="Times New Roman" w:cs="Times New Roman"/>
          <w:b/>
          <w:sz w:val="28"/>
          <w:szCs w:val="28"/>
        </w:rPr>
        <w:t>--------------------------</w:t>
      </w:r>
    </w:p>
    <w:p w:rsidR="00306049" w:rsidRPr="00306049" w:rsidRDefault="00306049" w:rsidP="00306049">
      <w:pPr>
        <w:pStyle w:val="NormalWeb"/>
        <w:shd w:val="clear" w:color="auto" w:fill="FFFFFF"/>
        <w:spacing w:before="0" w:beforeAutospacing="0" w:after="0" w:afterAutospacing="0" w:line="234" w:lineRule="atLeast"/>
        <w:rPr>
          <w:b/>
          <w:bCs/>
          <w:sz w:val="28"/>
          <w:szCs w:val="28"/>
        </w:rPr>
      </w:pPr>
      <w:bookmarkStart w:id="2" w:name="dieu_12"/>
      <w:bookmarkStart w:id="3" w:name="_GoBack"/>
      <w:bookmarkEnd w:id="3"/>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b/>
          <w:bCs/>
          <w:sz w:val="28"/>
          <w:szCs w:val="28"/>
          <w:lang w:val="vi-VN"/>
        </w:rPr>
        <w:t>Điều 12. Quản lý việc quảng cáo rượu, bia có độ cồn dưới 5,5 độ</w:t>
      </w:r>
      <w:bookmarkEnd w:id="2"/>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1. Tổ chức, cá nhân thực hiện quảng cáo rượu, bia phải tuân thủ các quy định của Luật này và quy định khác của pháp luật về quảng cáo.</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2. Quảng cáo không thể hiện các nội dung sau đây:</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a) Có thông tin, hình ảnh nhằm khuyến khích uống rượu, bia; thông tin rượu, bia có tác dụng tạo sự trưởng thành, thành đạt, thân thiện, hấp dẫn về giới tính; hướng đến trẻ em, học sinh, sinh viên, thanh niên, phụ nữ mang thai;</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b) Sử dụng vật dụng, hình ảnh, biểu tượng, âm nhạc, nhân vật trong phim, nhãn hiệu sản phẩm dành cho trẻ em, học sinh, sinh viên; sử dụng người chưa đủ 18 tuổi hoặc hình ảnh của người chưa đủ 18 tuổi trong quảng cáo rượu, bia.</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3. Không thực hiện quảng cáo trên các phương tiện quảng cáo trong trường hợp sau đây:</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a) Sự kiện, phương tiện quảng cáo, sản phẩm dành cho người chưa đủ 18 tuổi, học sinh, sinh viên, thanh niên, phụ nữ mang thai;</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b) Phương tiện giao thông;</w:t>
      </w:r>
    </w:p>
    <w:p w:rsidR="00306049" w:rsidRPr="00306049" w:rsidRDefault="00306049" w:rsidP="00306049">
      <w:pPr>
        <w:spacing w:before="120" w:after="120" w:line="240" w:lineRule="auto"/>
        <w:rPr>
          <w:sz w:val="28"/>
          <w:szCs w:val="28"/>
        </w:rPr>
      </w:pPr>
      <w:bookmarkStart w:id="4" w:name="diem_c_3_12"/>
      <w:r w:rsidRPr="00306049">
        <w:rPr>
          <w:sz w:val="28"/>
          <w:szCs w:val="28"/>
        </w:rPr>
        <w:t>c) Báo nói, báo hình ngay trước, trong và ngay sau chương trình dành cho trẻ em; trong thời gian từ 18 giờ đến 21 giờ hằng ngày, trừ trường hợp quảng cáo có sẵn trong các chương trình thể thao mua bản quyền tiếp sóng trực tiếp từ nước ngoài và trường hợp khác theo quy định của Chính phủ;</w:t>
      </w:r>
      <w:bookmarkEnd w:id="4"/>
    </w:p>
    <w:p w:rsidR="00306049" w:rsidRPr="00306049" w:rsidRDefault="00306049" w:rsidP="00306049">
      <w:pPr>
        <w:spacing w:before="120" w:after="120" w:line="240" w:lineRule="auto"/>
        <w:rPr>
          <w:sz w:val="28"/>
          <w:szCs w:val="28"/>
        </w:rPr>
      </w:pPr>
      <w:bookmarkStart w:id="5" w:name="diem_d_3_12"/>
      <w:r w:rsidRPr="00306049">
        <w:rPr>
          <w:sz w:val="28"/>
          <w:szCs w:val="28"/>
        </w:rPr>
        <w:t>d) Phương tiện quảng cáo ngoài trời vi phạm quy định về kích thước, khoảng cách đặt phương tiện quảng cáo tính từ khuôn viên của cơ sở giáo dục, cơ sở, khu vực chăm sóc, nuôi dưỡng, vui chơi, giải trí dành cho người chưa đủ 18 tuổi.</w:t>
      </w:r>
      <w:bookmarkEnd w:id="5"/>
    </w:p>
    <w:p w:rsidR="00306049" w:rsidRPr="00306049" w:rsidRDefault="00306049" w:rsidP="00306049">
      <w:pPr>
        <w:spacing w:before="120" w:after="120" w:line="240" w:lineRule="auto"/>
        <w:rPr>
          <w:sz w:val="28"/>
          <w:szCs w:val="28"/>
        </w:rPr>
      </w:pPr>
      <w:bookmarkStart w:id="6" w:name="khoan_4_12"/>
      <w:r w:rsidRPr="00306049">
        <w:rPr>
          <w:sz w:val="28"/>
          <w:szCs w:val="28"/>
        </w:rPr>
        <w:t>4. Quảng cáo phải có cảnh báo để phòng, chống tác hại của rượu, bia</w:t>
      </w:r>
      <w:bookmarkEnd w:id="6"/>
      <w:r w:rsidRPr="00306049">
        <w:rPr>
          <w:sz w:val="28"/>
          <w:szCs w:val="28"/>
        </w:rPr>
        <w:t>.</w:t>
      </w:r>
    </w:p>
    <w:p w:rsidR="00306049" w:rsidRPr="00306049" w:rsidRDefault="00306049" w:rsidP="00306049">
      <w:pPr>
        <w:spacing w:before="120" w:after="120" w:line="240" w:lineRule="auto"/>
        <w:rPr>
          <w:sz w:val="28"/>
          <w:szCs w:val="28"/>
        </w:rPr>
      </w:pPr>
      <w:bookmarkStart w:id="7" w:name="khoan_5_12"/>
      <w:r w:rsidRPr="00306049">
        <w:rPr>
          <w:sz w:val="28"/>
          <w:szCs w:val="28"/>
        </w:rPr>
        <w:t>5. Quảng cáo trên báo điện tử, trang thông tin điện tử, phương tiện điện tử, thiết bị đầu cuối và thiết bị viễn thông khác phải có hệ thống công nghệ chặn lọc, phần mềm kiểm soát tuổi của người truy cập để ngăn ngừa người chưa đủ 18 tuổi tiếp cận, truy cập, tìm kiếm thông tin về rượu, bia.</w:t>
      </w:r>
      <w:bookmarkEnd w:id="7"/>
    </w:p>
    <w:p w:rsidR="00306049" w:rsidRDefault="00306049" w:rsidP="00306049">
      <w:pPr>
        <w:pStyle w:val="NormalWeb"/>
        <w:shd w:val="clear" w:color="auto" w:fill="FFFFFF"/>
        <w:spacing w:before="120" w:beforeAutospacing="0" w:after="120" w:afterAutospacing="0"/>
        <w:jc w:val="both"/>
        <w:rPr>
          <w:sz w:val="28"/>
          <w:szCs w:val="28"/>
        </w:rPr>
      </w:pPr>
      <w:bookmarkStart w:id="8" w:name="khoan_6_12"/>
      <w:r w:rsidRPr="00306049">
        <w:rPr>
          <w:sz w:val="28"/>
          <w:szCs w:val="28"/>
          <w:lang w:val="vi-VN"/>
        </w:rPr>
        <w:t>6. Chính phủ quy định chi tiết điểm d khoản 3, khoản 4 và khoản 5 Điều này.</w:t>
      </w:r>
      <w:bookmarkEnd w:id="8"/>
    </w:p>
    <w:p w:rsidR="00306049" w:rsidRPr="00306049" w:rsidRDefault="00306049" w:rsidP="00306049">
      <w:pPr>
        <w:pStyle w:val="NormalWeb"/>
        <w:shd w:val="clear" w:color="auto" w:fill="FFFFFF"/>
        <w:spacing w:before="120" w:beforeAutospacing="0" w:after="120" w:afterAutospacing="0"/>
        <w:jc w:val="both"/>
        <w:rPr>
          <w:sz w:val="28"/>
          <w:szCs w:val="28"/>
        </w:rPr>
      </w:pPr>
      <w:bookmarkStart w:id="9" w:name="dieu_23"/>
      <w:r w:rsidRPr="00306049">
        <w:rPr>
          <w:b/>
          <w:bCs/>
          <w:sz w:val="28"/>
          <w:szCs w:val="28"/>
          <w:lang w:val="vi-VN"/>
        </w:rPr>
        <w:t>Điều 23. Tư vấn về phòng, chống tác hại của rượu, bia</w:t>
      </w:r>
      <w:bookmarkEnd w:id="9"/>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1. Tư vấn về phòng, chống tác hại của rượu, bia bao gồm các nội dung sau đây:</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a) Thông tin, kiến thức, pháp luật về phòng, chống tác hại của rượu, bia;</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lastRenderedPageBreak/>
        <w:t>b) Biện pháp giảm tác hại của rượu, bia; kỹ năng từ chối uống rượu, bia; kỹ năng nhận biết và ứng xử, xử trí khi gặp người say rượu, bia, người nghiện rượu, bia.</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2. Việc tư vấn về phòng, chống tác hại của rượu, bia tập trung vào các đối tượng sau đây:</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a) Người thường xuyên uống rượu, bia;</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b) Người nghiện rượu, bia;</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c) Thành viên gia đình có người thường xuyên uống rượu, bia, người nghiện rượu, bia;</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d) Trẻ em, học sinh, sinh viên, thanh niên, phụ nữ mang thai;</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đ) Người bị ảnh hưởng bởi tác hại của rượu, bia.</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3. Ủy ban nhân dân cấp xã chủ trì phối hợp với Ủy ban Mặt trận Tổ quốc Việt Nam cùng cấp và các tổ chức thành viên của Mặt trận hướng dẫn, tạo điều kiện cho hoạt động tư vấn về phòng, chống tác hại của rượu, bia trên địa bàn.</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4. Nhà nước tạo điều kiện và khuyến khích tổ chức, cá nhân thực hiện tư vấn về phòng, chống tác hại của rượu, bia cho thành viên trong cộng đồng.</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5. Cơ quan, tổ chức, cá nhân thực hiện hoạt động tư vấn quy định tại khoản 1 và khoản 2 Điều này phù hợp với chức năng, nhiệm vụ được giao.</w:t>
      </w:r>
    </w:p>
    <w:p w:rsidR="00306049" w:rsidRPr="00306049" w:rsidRDefault="00306049" w:rsidP="00306049">
      <w:pPr>
        <w:pStyle w:val="NormalWeb"/>
        <w:shd w:val="clear" w:color="auto" w:fill="FFFFFF"/>
        <w:spacing w:before="120" w:beforeAutospacing="0" w:after="120" w:afterAutospacing="0"/>
        <w:jc w:val="both"/>
        <w:rPr>
          <w:sz w:val="28"/>
          <w:szCs w:val="28"/>
        </w:rPr>
      </w:pPr>
      <w:bookmarkStart w:id="10" w:name="dieu_31"/>
      <w:r w:rsidRPr="00306049">
        <w:rPr>
          <w:b/>
          <w:bCs/>
          <w:sz w:val="28"/>
          <w:szCs w:val="28"/>
          <w:lang w:val="vi-VN"/>
        </w:rPr>
        <w:t>Điều 31. Trách nhiệm của Mặt trận Tổ quốc Việt Nam, các tổ chức thành viên của Mặt trận và tổ chức xã hội - nghề nghiệp, tổ chức xã hội</w:t>
      </w:r>
      <w:bookmarkEnd w:id="10"/>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1. Mặt trận Tổ quốc Việt Nam và các tổ chức thành viên của Mặt trận, trong phạm v</w:t>
      </w:r>
      <w:r w:rsidRPr="00306049">
        <w:rPr>
          <w:sz w:val="28"/>
          <w:szCs w:val="28"/>
        </w:rPr>
        <w:t>i </w:t>
      </w:r>
      <w:r w:rsidRPr="00306049">
        <w:rPr>
          <w:sz w:val="28"/>
          <w:szCs w:val="28"/>
          <w:lang w:val="vi-VN"/>
        </w:rPr>
        <w:t>chức năng, nhiệm vụ của mình, có </w:t>
      </w:r>
      <w:r w:rsidRPr="00306049">
        <w:rPr>
          <w:sz w:val="28"/>
          <w:szCs w:val="28"/>
        </w:rPr>
        <w:t>tr</w:t>
      </w:r>
      <w:r w:rsidRPr="00306049">
        <w:rPr>
          <w:sz w:val="28"/>
          <w:szCs w:val="28"/>
          <w:lang w:val="vi-VN"/>
        </w:rPr>
        <w:t>ách nhiệm giáo dục, tuyên truyền, vận động nhân dân, đoàn viên, hội viên thực hiện chính sách, pháp luật về phòng, chống tác hại của rượu, bia; đưa nội dung phòng, chống tác hại của rượu, bia vào nội quy, quy chế của cơ quan, tổ chức; tham gia ý kiến xây dựng pháp luật, thực hiện giám sát, phản biện xã hội trong lĩ</w:t>
      </w:r>
      <w:r w:rsidRPr="00306049">
        <w:rPr>
          <w:sz w:val="28"/>
          <w:szCs w:val="28"/>
        </w:rPr>
        <w:t>n</w:t>
      </w:r>
      <w:r w:rsidRPr="00306049">
        <w:rPr>
          <w:sz w:val="28"/>
          <w:szCs w:val="28"/>
          <w:lang w:val="vi-VN"/>
        </w:rPr>
        <w:t>h vực phòng, chống tác hại của rượu, bia theo quy định của pháp luật.</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2. Đoàn Thanh niên Cộng sản Hồ Chí Minh có trách nhiệm sau đây:</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a) Thực hiện trách nhiệm quy định tại khoản 1 Điều này;</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b) Tuyên truyền, giáo dục trẻ em, học sinh, sinh viên, thanh niên không </w:t>
      </w:r>
      <w:r w:rsidRPr="00306049">
        <w:rPr>
          <w:sz w:val="28"/>
          <w:szCs w:val="28"/>
        </w:rPr>
        <w:t>uống rượu</w:t>
      </w:r>
      <w:r w:rsidRPr="00306049">
        <w:rPr>
          <w:sz w:val="28"/>
          <w:szCs w:val="28"/>
          <w:lang w:val="vi-VN"/>
        </w:rPr>
        <w:t>, bia;</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c) Phối hợp với cơ quan, tổ chức có liên quan để bảo vệ và hỗ trợ trẻ em, học sinh, sinh viên, thanh niên bị ảnh hưởng bởi tác hại của rượu, bia;</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d) L</w:t>
      </w:r>
      <w:r w:rsidRPr="00306049">
        <w:rPr>
          <w:sz w:val="28"/>
          <w:szCs w:val="28"/>
        </w:rPr>
        <w:t>ồ</w:t>
      </w:r>
      <w:r w:rsidRPr="00306049">
        <w:rPr>
          <w:sz w:val="28"/>
          <w:szCs w:val="28"/>
          <w:lang w:val="vi-VN"/>
        </w:rPr>
        <w:t>ng ghép hoạt động phòng, chống tác hại của rượu, bia trong công tác đoàn, đội.</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3. Hội Liên hiệp Phụ nữ Việt Nam có trách nhiệm sau đây:</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a) Thực hiện trách nhiệm quy định tại khoản 1 Điều này;</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lastRenderedPageBreak/>
        <w:t>b) Phối hợp với cơ quan, tổ chức có liên quan để bảo vệ và hỗ trợ phụ nữ, trẻ em bị ảnh hưởng bởi tác hại của rượu, bia;</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c) L</w:t>
      </w:r>
      <w:r w:rsidRPr="00306049">
        <w:rPr>
          <w:sz w:val="28"/>
          <w:szCs w:val="28"/>
        </w:rPr>
        <w:t>ồ</w:t>
      </w:r>
      <w:r w:rsidRPr="00306049">
        <w:rPr>
          <w:sz w:val="28"/>
          <w:szCs w:val="28"/>
          <w:lang w:val="vi-VN"/>
        </w:rPr>
        <w:t>ng ghép hoạt động phòng, chống tác hại của rượu, bia trong công tác hội.</w:t>
      </w:r>
    </w:p>
    <w:p w:rsidR="00306049" w:rsidRPr="00306049" w:rsidRDefault="00306049" w:rsidP="00306049">
      <w:pPr>
        <w:pStyle w:val="NormalWeb"/>
        <w:shd w:val="clear" w:color="auto" w:fill="FFFFFF"/>
        <w:spacing w:before="120" w:beforeAutospacing="0" w:after="120" w:afterAutospacing="0"/>
        <w:jc w:val="both"/>
        <w:rPr>
          <w:sz w:val="28"/>
          <w:szCs w:val="28"/>
        </w:rPr>
      </w:pPr>
      <w:r w:rsidRPr="00306049">
        <w:rPr>
          <w:sz w:val="28"/>
          <w:szCs w:val="28"/>
          <w:lang w:val="vi-VN"/>
        </w:rPr>
        <w:t>4. Tổ chức xã hội - nghề nghiệp, tổ chức xã hội, trong phạm vi chức năng, nhiệm vụ của mình, tham gia giáo dục, tuyên truyền, vận động thực hiện chính sách, pháp luật về phòng, chống tác hại của rượu, bia; tham gia ý kiến xây dựng pháp luật về phòng, chống tác hại của rượu, bia; cung cấp thông tin về phòng, chống tác hại của rượu, bia theo quy định của pháp luật.</w:t>
      </w:r>
    </w:p>
    <w:p w:rsidR="00306049" w:rsidRPr="00306049" w:rsidRDefault="00306049" w:rsidP="00306049">
      <w:pPr>
        <w:pStyle w:val="NormalWeb"/>
        <w:shd w:val="clear" w:color="auto" w:fill="FFFFFF"/>
        <w:spacing w:before="120" w:beforeAutospacing="0" w:after="120" w:afterAutospacing="0" w:line="234" w:lineRule="atLeast"/>
        <w:rPr>
          <w:rFonts w:ascii="Arial" w:hAnsi="Arial" w:cs="Arial"/>
          <w:color w:val="000000"/>
          <w:sz w:val="18"/>
          <w:szCs w:val="18"/>
        </w:rPr>
      </w:pPr>
    </w:p>
    <w:p w:rsidR="00306049" w:rsidRPr="00306049" w:rsidRDefault="00306049" w:rsidP="00306049">
      <w:pPr>
        <w:pStyle w:val="NormalWeb"/>
        <w:shd w:val="clear" w:color="auto" w:fill="FFFFFF"/>
        <w:spacing w:before="0" w:beforeAutospacing="0" w:after="0" w:afterAutospacing="0" w:line="234" w:lineRule="atLeast"/>
        <w:rPr>
          <w:rFonts w:ascii="Arial" w:hAnsi="Arial" w:cs="Arial"/>
          <w:color w:val="000000"/>
          <w:sz w:val="18"/>
          <w:szCs w:val="18"/>
        </w:rPr>
      </w:pPr>
    </w:p>
    <w:p w:rsidR="00231F05" w:rsidRDefault="00231F05"/>
    <w:sectPr w:rsidR="00231F05" w:rsidSect="00306049">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49"/>
    <w:rsid w:val="000F7682"/>
    <w:rsid w:val="00231F05"/>
    <w:rsid w:val="0030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04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04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8331">
      <w:bodyDiv w:val="1"/>
      <w:marLeft w:val="0"/>
      <w:marRight w:val="0"/>
      <w:marTop w:val="0"/>
      <w:marBottom w:val="0"/>
      <w:divBdr>
        <w:top w:val="none" w:sz="0" w:space="0" w:color="auto"/>
        <w:left w:val="none" w:sz="0" w:space="0" w:color="auto"/>
        <w:bottom w:val="none" w:sz="0" w:space="0" w:color="auto"/>
        <w:right w:val="none" w:sz="0" w:space="0" w:color="auto"/>
      </w:divBdr>
    </w:div>
    <w:div w:id="1046954315">
      <w:bodyDiv w:val="1"/>
      <w:marLeft w:val="0"/>
      <w:marRight w:val="0"/>
      <w:marTop w:val="0"/>
      <w:marBottom w:val="0"/>
      <w:divBdr>
        <w:top w:val="none" w:sz="0" w:space="0" w:color="auto"/>
        <w:left w:val="none" w:sz="0" w:space="0" w:color="auto"/>
        <w:bottom w:val="none" w:sz="0" w:space="0" w:color="auto"/>
        <w:right w:val="none" w:sz="0" w:space="0" w:color="auto"/>
      </w:divBdr>
    </w:div>
    <w:div w:id="1291015726">
      <w:bodyDiv w:val="1"/>
      <w:marLeft w:val="0"/>
      <w:marRight w:val="0"/>
      <w:marTop w:val="0"/>
      <w:marBottom w:val="0"/>
      <w:divBdr>
        <w:top w:val="none" w:sz="0" w:space="0" w:color="auto"/>
        <w:left w:val="none" w:sz="0" w:space="0" w:color="auto"/>
        <w:bottom w:val="none" w:sz="0" w:space="0" w:color="auto"/>
        <w:right w:val="none" w:sz="0" w:space="0" w:color="auto"/>
      </w:divBdr>
    </w:div>
    <w:div w:id="15211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2022-02-08T08:14:00Z</dcterms:created>
  <dcterms:modified xsi:type="dcterms:W3CDTF">2022-02-08T08:29:00Z</dcterms:modified>
</cp:coreProperties>
</file>